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vertAlign w:val="baseline"/>
        </w:rPr>
      </w:pPr>
      <w:r w:rsidDel="00000000" w:rsidR="00000000" w:rsidRPr="00000000">
        <w:rPr>
          <w:b w:val="1"/>
          <w:vertAlign w:val="baseline"/>
          <w:rtl w:val="0"/>
        </w:rPr>
        <w:t xml:space="preserve">COTATI-ROHNERT PARK UNIFIED SCHOOL DISTRICT</w:t>
      </w:r>
      <w:r w:rsidDel="00000000" w:rsidR="00000000" w:rsidRPr="00000000">
        <w:rPr>
          <w:rtl w:val="0"/>
        </w:rPr>
      </w:r>
    </w:p>
    <w:p w:rsidR="00000000" w:rsidDel="00000000" w:rsidP="00000000" w:rsidRDefault="00000000" w:rsidRPr="00000000" w14:paraId="00000002">
      <w:pPr>
        <w:pStyle w:val="Subtitle"/>
        <w:rPr>
          <w:vertAlign w:val="baseline"/>
        </w:rPr>
      </w:pPr>
      <w:r w:rsidDel="00000000" w:rsidR="00000000" w:rsidRPr="00000000">
        <w:rPr>
          <w:b w:val="1"/>
          <w:smallCaps w:val="1"/>
          <w:vertAlign w:val="baseline"/>
          <w:rtl w:val="0"/>
        </w:rPr>
        <w:t xml:space="preserve">Evaluation Goals &amp; Objectives</w:t>
      </w:r>
      <w:r w:rsidDel="00000000" w:rsidR="00000000" w:rsidRPr="00000000">
        <w:rPr>
          <w:rtl w:val="0"/>
        </w:rPr>
      </w:r>
    </w:p>
    <w:p w:rsidR="00000000" w:rsidDel="00000000" w:rsidP="00000000" w:rsidRDefault="00000000" w:rsidRPr="00000000" w14:paraId="00000003">
      <w:pPr>
        <w:pStyle w:val="Heading1"/>
        <w:rPr>
          <w:vertAlign w:val="baseline"/>
        </w:rPr>
      </w:pPr>
      <w:r w:rsidDel="00000000" w:rsidR="00000000" w:rsidRPr="00000000">
        <w:rPr>
          <w:rtl w:val="0"/>
        </w:rPr>
      </w:r>
    </w:p>
    <w:tbl>
      <w:tblPr>
        <w:tblStyle w:val="Table1"/>
        <w:tblW w:w="13860.0" w:type="dxa"/>
        <w:jc w:val="left"/>
        <w:tblInd w:w="600.0" w:type="dxa"/>
        <w:tblLayout w:type="fixed"/>
        <w:tblLook w:val="0000"/>
      </w:tblPr>
      <w:tblGrid>
        <w:gridCol w:w="1440"/>
        <w:gridCol w:w="4560"/>
        <w:gridCol w:w="975"/>
        <w:gridCol w:w="6885"/>
        <w:tblGridChange w:id="0">
          <w:tblGrid>
            <w:gridCol w:w="1440"/>
            <w:gridCol w:w="4560"/>
            <w:gridCol w:w="975"/>
            <w:gridCol w:w="6885"/>
          </w:tblGrid>
        </w:tblGridChange>
      </w:tblGrid>
      <w:tr>
        <w:trPr>
          <w:cantSplit w:val="0"/>
          <w:tblHeader w:val="0"/>
        </w:trPr>
        <w:tc>
          <w:tcPr>
            <w:vAlign w:val="top"/>
          </w:tcPr>
          <w:p w:rsidR="00000000" w:rsidDel="00000000" w:rsidP="00000000" w:rsidRDefault="00000000" w:rsidRPr="00000000" w14:paraId="00000004">
            <w:pPr>
              <w:pStyle w:val="Heading1"/>
              <w:jc w:val="left"/>
              <w:rPr>
                <w:vertAlign w:val="baseline"/>
              </w:rPr>
            </w:pPr>
            <w:r w:rsidDel="00000000" w:rsidR="00000000" w:rsidRPr="00000000">
              <w:rPr>
                <w:b w:val="1"/>
                <w:vertAlign w:val="baseline"/>
                <w:rtl w:val="0"/>
              </w:rPr>
              <w:t xml:space="preserve">Employee:</w:t>
            </w:r>
            <w:r w:rsidDel="00000000" w:rsidR="00000000" w:rsidRPr="00000000">
              <w:rPr>
                <w:rtl w:val="0"/>
              </w:rPr>
            </w:r>
          </w:p>
        </w:tc>
        <w:tc>
          <w:tcPr>
            <w:vAlign w:val="top"/>
          </w:tcPr>
          <w:p w:rsidR="00000000" w:rsidDel="00000000" w:rsidP="00000000" w:rsidRDefault="00000000" w:rsidRPr="00000000" w14:paraId="00000005">
            <w:pPr>
              <w:pStyle w:val="Heading1"/>
              <w:jc w:val="left"/>
              <w:rPr>
                <w:b w:val="0"/>
                <w:vertAlign w:val="baseline"/>
              </w:rPr>
            </w:pPr>
            <w:r w:rsidDel="00000000" w:rsidR="00000000" w:rsidRPr="00000000">
              <w:rPr>
                <w:b w:val="0"/>
                <w:vertAlign w:val="baseline"/>
                <w:rtl w:val="0"/>
              </w:rPr>
              <w:t xml:space="preserve">     </w:t>
            </w:r>
          </w:p>
        </w:tc>
        <w:tc>
          <w:tcPr>
            <w:vAlign w:val="top"/>
          </w:tcPr>
          <w:p w:rsidR="00000000" w:rsidDel="00000000" w:rsidP="00000000" w:rsidRDefault="00000000" w:rsidRPr="00000000" w14:paraId="00000006">
            <w:pPr>
              <w:pStyle w:val="Heading1"/>
              <w:jc w:val="left"/>
              <w:rPr>
                <w:vertAlign w:val="baseline"/>
              </w:rPr>
            </w:pPr>
            <w:r w:rsidDel="00000000" w:rsidR="00000000" w:rsidRPr="00000000">
              <w:rPr>
                <w:b w:val="1"/>
                <w:vertAlign w:val="baseline"/>
                <w:rtl w:val="0"/>
              </w:rPr>
              <w:t xml:space="preserve">School:</w:t>
            </w:r>
            <w:r w:rsidDel="00000000" w:rsidR="00000000" w:rsidRPr="00000000">
              <w:rPr>
                <w:rtl w:val="0"/>
              </w:rPr>
            </w:r>
          </w:p>
        </w:tc>
        <w:tc>
          <w:tcPr>
            <w:vAlign w:val="top"/>
          </w:tcPr>
          <w:p w:rsidR="00000000" w:rsidDel="00000000" w:rsidP="00000000" w:rsidRDefault="00000000" w:rsidRPr="00000000" w14:paraId="00000007">
            <w:pPr>
              <w:pStyle w:val="Heading1"/>
              <w:jc w:val="left"/>
              <w:rPr>
                <w:b w:val="0"/>
                <w:vertAlign w:val="baseline"/>
              </w:rPr>
            </w:pPr>
            <w:r w:rsidDel="00000000" w:rsidR="00000000" w:rsidRPr="00000000">
              <w:rPr>
                <w:rtl w:val="0"/>
              </w:rPr>
            </w:r>
          </w:p>
        </w:tc>
      </w:tr>
    </w:tbl>
    <w:p w:rsidR="00000000" w:rsidDel="00000000" w:rsidP="00000000" w:rsidRDefault="00000000" w:rsidRPr="00000000" w14:paraId="00000008">
      <w:pPr>
        <w:pStyle w:val="Heading1"/>
        <w:rPr>
          <w:vertAlign w:val="baseline"/>
        </w:rPr>
      </w:pPr>
      <w:r w:rsidDel="00000000" w:rsidR="00000000" w:rsidRPr="00000000">
        <w:rPr>
          <w:rtl w:val="0"/>
        </w:rPr>
      </w:r>
    </w:p>
    <w:p w:rsidR="00000000" w:rsidDel="00000000" w:rsidP="00000000" w:rsidRDefault="00000000" w:rsidRPr="00000000" w14:paraId="00000009">
      <w:pPr>
        <w:pStyle w:val="Heading1"/>
        <w:rPr>
          <w:vertAlign w:val="baseline"/>
        </w:rPr>
      </w:pPr>
      <w:r w:rsidDel="00000000" w:rsidR="00000000" w:rsidRPr="00000000">
        <w:rPr>
          <w:b w:val="1"/>
          <w:vertAlign w:val="baseline"/>
          <w:rtl w:val="0"/>
        </w:rPr>
        <w:t xml:space="preserve">STANDARD FIVE</w:t>
      </w:r>
      <w:r w:rsidDel="00000000" w:rsidR="00000000" w:rsidRPr="00000000">
        <w:rPr>
          <w:rtl w:val="0"/>
        </w:rPr>
      </w:r>
    </w:p>
    <w:p w:rsidR="00000000" w:rsidDel="00000000" w:rsidP="00000000" w:rsidRDefault="00000000" w:rsidRPr="00000000" w14:paraId="0000000A">
      <w:pPr>
        <w:pStyle w:val="Heading2"/>
        <w:rPr>
          <w:vertAlign w:val="baseline"/>
        </w:rPr>
      </w:pPr>
      <w:r w:rsidDel="00000000" w:rsidR="00000000" w:rsidRPr="00000000">
        <w:rPr>
          <w:b w:val="1"/>
          <w:vertAlign w:val="baseline"/>
          <w:rtl w:val="0"/>
        </w:rPr>
        <w:t xml:space="preserve">ASSESSING STUDENTS FOR LEARNING</w:t>
      </w:r>
      <w:r w:rsidDel="00000000" w:rsidR="00000000" w:rsidRPr="00000000">
        <w:rPr>
          <w:rtl w:val="0"/>
        </w:rPr>
      </w:r>
    </w:p>
    <w:p w:rsidR="00000000" w:rsidDel="00000000" w:rsidP="00000000" w:rsidRDefault="00000000" w:rsidRPr="00000000" w14:paraId="0000000B">
      <w:pPr>
        <w:rPr>
          <w:b w:val="0"/>
          <w:vertAlign w:val="baseline"/>
        </w:rPr>
      </w:pPr>
      <w:r w:rsidDel="00000000" w:rsidR="00000000" w:rsidRPr="00000000">
        <w:rPr>
          <w:b w:val="1"/>
          <w:vertAlign w:val="baseline"/>
          <w:rtl w:val="0"/>
        </w:rPr>
        <w:tab/>
      </w:r>
      <w:r w:rsidDel="00000000" w:rsidR="00000000" w:rsidRPr="00000000">
        <w:rPr>
          <w:rtl w:val="0"/>
        </w:rPr>
      </w:r>
    </w:p>
    <w:p w:rsidR="00000000" w:rsidDel="00000000" w:rsidP="00000000" w:rsidRDefault="00000000" w:rsidRPr="00000000" w14:paraId="0000000C">
      <w:pPr>
        <w:ind w:left="630" w:right="600" w:firstLine="0"/>
        <w:rPr>
          <w:i w:val="0"/>
          <w:sz w:val="20"/>
          <w:szCs w:val="20"/>
          <w:vertAlign w:val="baseline"/>
        </w:rPr>
      </w:pPr>
      <w:r w:rsidDel="00000000" w:rsidR="00000000" w:rsidRPr="00000000">
        <w:rPr>
          <w:i w:val="1"/>
          <w:sz w:val="20"/>
          <w:szCs w:val="20"/>
          <w:vertAlign w:val="baseline"/>
          <w:rtl w:val="0"/>
        </w:rPr>
        <w:t xml:space="preserve">The elements represent the key components of each standard.  It is </w:t>
      </w:r>
      <w:r w:rsidDel="00000000" w:rsidR="00000000" w:rsidRPr="00000000">
        <w:rPr>
          <w:i w:val="1"/>
          <w:sz w:val="20"/>
          <w:szCs w:val="20"/>
          <w:u w:val="single"/>
          <w:vertAlign w:val="baseline"/>
          <w:rtl w:val="0"/>
        </w:rPr>
        <w:t xml:space="preserve">not</w:t>
      </w:r>
      <w:r w:rsidDel="00000000" w:rsidR="00000000" w:rsidRPr="00000000">
        <w:rPr>
          <w:i w:val="1"/>
          <w:sz w:val="20"/>
          <w:szCs w:val="20"/>
          <w:vertAlign w:val="baseline"/>
          <w:rtl w:val="0"/>
        </w:rPr>
        <w:t xml:space="preserve"> necessary to write an individual goal or objective for each element.  The elements are listed as a guide to assist in defining and developing goals &amp; objectives.  Numbers are provided for ease of reference.  They do not imply priority or ordering of the elements.</w:t>
      </w:r>
      <w:r w:rsidDel="00000000" w:rsidR="00000000" w:rsidRPr="00000000">
        <w:rPr>
          <w:rtl w:val="0"/>
        </w:rPr>
      </w:r>
    </w:p>
    <w:p w:rsidR="00000000" w:rsidDel="00000000" w:rsidP="00000000" w:rsidRDefault="00000000" w:rsidRPr="00000000" w14:paraId="0000000D">
      <w:pPr>
        <w:jc w:val="both"/>
        <w:rPr>
          <w:i w:val="0"/>
          <w:sz w:val="20"/>
          <w:szCs w:val="20"/>
          <w:vertAlign w:val="baseline"/>
        </w:rPr>
      </w:pPr>
      <w:r w:rsidDel="00000000" w:rsidR="00000000" w:rsidRPr="00000000">
        <w:rPr>
          <w:rtl w:val="0"/>
        </w:rPr>
      </w:r>
    </w:p>
    <w:tbl>
      <w:tblPr>
        <w:tblStyle w:val="Table2"/>
        <w:tblW w:w="13890.0" w:type="dxa"/>
        <w:jc w:val="center"/>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4110"/>
        <w:gridCol w:w="7140"/>
        <w:gridCol w:w="2640"/>
        <w:tblGridChange w:id="0">
          <w:tblGrid>
            <w:gridCol w:w="4110"/>
            <w:gridCol w:w="7140"/>
            <w:gridCol w:w="2640"/>
          </w:tblGrid>
        </w:tblGridChange>
      </w:tblGrid>
      <w:tr>
        <w:trPr>
          <w:cantSplit w:val="0"/>
          <w:trHeight w:val="240" w:hRule="atLeast"/>
          <w:tblHeader w:val="0"/>
        </w:trPr>
        <w:tc>
          <w:tcPr>
            <w:tcBorders>
              <w:top w:color="000000" w:space="0" w:sz="4" w:val="single"/>
              <w:bottom w:color="000000" w:space="0" w:sz="4" w:val="single"/>
              <w:right w:color="000000" w:space="0" w:sz="4" w:val="single"/>
            </w:tcBorders>
            <w:vAlign w:val="top"/>
          </w:tcPr>
          <w:p w:rsidR="00000000" w:rsidDel="00000000" w:rsidP="00000000" w:rsidRDefault="00000000" w:rsidRPr="00000000" w14:paraId="0000000E">
            <w:pPr>
              <w:rPr>
                <w:b w:val="0"/>
                <w:vertAlign w:val="baseline"/>
              </w:rPr>
            </w:pPr>
            <w:r w:rsidDel="00000000" w:rsidR="00000000" w:rsidRPr="00000000">
              <w:rPr>
                <w:b w:val="1"/>
                <w:vertAlign w:val="baseline"/>
                <w:rtl w:val="0"/>
              </w:rPr>
              <w:t xml:space="preserve">Elements: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F">
            <w:pPr>
              <w:rPr>
                <w:b w:val="0"/>
                <w:vertAlign w:val="baseline"/>
              </w:rPr>
            </w:pPr>
            <w:r w:rsidDel="00000000" w:rsidR="00000000" w:rsidRPr="00000000">
              <w:rPr>
                <w:b w:val="1"/>
                <w:vertAlign w:val="baseline"/>
                <w:rtl w:val="0"/>
              </w:rPr>
              <w:t xml:space="preserve">Goals &amp; Objectives:</w:t>
            </w: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10">
            <w:pPr>
              <w:rPr>
                <w:b w:val="0"/>
                <w:vertAlign w:val="baseline"/>
              </w:rPr>
            </w:pPr>
            <w:r w:rsidDel="00000000" w:rsidR="00000000" w:rsidRPr="00000000">
              <w:rPr>
                <w:b w:val="1"/>
                <w:vertAlign w:val="baseline"/>
                <w:rtl w:val="0"/>
              </w:rPr>
              <w:t xml:space="preserve">Evidenced by:</w:t>
            </w:r>
            <w:r w:rsidDel="00000000" w:rsidR="00000000" w:rsidRPr="00000000">
              <w:rPr>
                <w:rtl w:val="0"/>
              </w:rPr>
            </w:r>
          </w:p>
        </w:tc>
      </w:tr>
      <w:tr>
        <w:trPr>
          <w:cantSplit w:val="1"/>
          <w:trHeight w:val="843" w:hRule="atLeast"/>
          <w:tblHeader w:val="0"/>
        </w:trPr>
        <w:tc>
          <w:tcPr>
            <w:tcBorders>
              <w:top w:color="000000" w:space="0" w:sz="4" w:val="single"/>
              <w:bottom w:color="000000" w:space="0" w:sz="4" w:val="single"/>
              <w:right w:color="000000" w:space="0" w:sz="4" w:val="single"/>
            </w:tcBorders>
            <w:vAlign w:val="top"/>
          </w:tcPr>
          <w:p w:rsidR="00000000" w:rsidDel="00000000" w:rsidP="00000000" w:rsidRDefault="00000000" w:rsidRPr="00000000" w14:paraId="00000011">
            <w:pPr>
              <w:ind w:left="450" w:right="-60" w:hanging="450"/>
              <w:rPr>
                <w:vertAlign w:val="baseline"/>
              </w:rPr>
            </w:pPr>
            <w:r w:rsidDel="00000000" w:rsidR="00000000" w:rsidRPr="00000000">
              <w:rPr>
                <w:rtl w:val="0"/>
              </w:rPr>
              <w:t xml:space="preserve">5A: Teachers understand different assessment types and purposes and use multiple methods of assessing students to intentionally collect, analyze, and interpret information directed toward supporting each student’s achievement and well-being.</w:t>
            </w:r>
            <w:r w:rsidDel="00000000" w:rsidR="00000000" w:rsidRPr="00000000">
              <w:rPr>
                <w:rtl w:val="0"/>
              </w:rPr>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012">
            <w:pPr>
              <w:rPr>
                <w:sz w:val="22"/>
                <w:szCs w:val="22"/>
                <w:vertAlign w:val="baseline"/>
              </w:rPr>
            </w:pPr>
            <w:r w:rsidDel="00000000" w:rsidR="00000000" w:rsidRPr="00000000">
              <w:rPr>
                <w:sz w:val="22"/>
                <w:szCs w:val="22"/>
                <w:vertAlign w:val="baseline"/>
                <w:rtl w:val="0"/>
              </w:rPr>
              <w:t xml:space="preserve">     </w:t>
              <w:br w:type="textWrapping"/>
            </w:r>
          </w:p>
          <w:p w:rsidR="00000000" w:rsidDel="00000000" w:rsidP="00000000" w:rsidRDefault="00000000" w:rsidRPr="00000000" w14:paraId="00000013">
            <w:pPr>
              <w:rPr>
                <w:sz w:val="22"/>
                <w:szCs w:val="22"/>
                <w:vertAlign w:val="baseline"/>
              </w:rPr>
            </w:pPr>
            <w:r w:rsidDel="00000000" w:rsidR="00000000" w:rsidRPr="00000000">
              <w:rPr>
                <w:sz w:val="22"/>
                <w:szCs w:val="22"/>
                <w:vertAlign w:val="baseline"/>
                <w:rtl w:val="0"/>
              </w:rPr>
              <w:t xml:space="preserve">     </w:t>
              <w:br w:type="textWrapping"/>
            </w:r>
          </w:p>
          <w:p w:rsidR="00000000" w:rsidDel="00000000" w:rsidP="00000000" w:rsidRDefault="00000000" w:rsidRPr="00000000" w14:paraId="00000014">
            <w:pPr>
              <w:rPr>
                <w:sz w:val="22"/>
                <w:szCs w:val="22"/>
                <w:vertAlign w:val="baseline"/>
              </w:rPr>
            </w:pPr>
            <w:r w:rsidDel="00000000" w:rsidR="00000000" w:rsidRPr="00000000">
              <w:rPr>
                <w:sz w:val="22"/>
                <w:szCs w:val="22"/>
                <w:vertAlign w:val="baseline"/>
                <w:rtl w:val="0"/>
              </w:rPr>
              <w:t xml:space="preserve">     </w:t>
              <w:br w:type="textWrapping"/>
            </w:r>
          </w:p>
          <w:p w:rsidR="00000000" w:rsidDel="00000000" w:rsidP="00000000" w:rsidRDefault="00000000" w:rsidRPr="00000000" w14:paraId="00000015">
            <w:pPr>
              <w:rPr>
                <w:sz w:val="22"/>
                <w:szCs w:val="22"/>
                <w:vertAlign w:val="baseline"/>
              </w:rPr>
            </w:pPr>
            <w:r w:rsidDel="00000000" w:rsidR="00000000" w:rsidRPr="00000000">
              <w:rPr>
                <w:sz w:val="22"/>
                <w:szCs w:val="22"/>
                <w:vertAlign w:val="baseline"/>
                <w:rtl w:val="0"/>
              </w:rPr>
              <w:t xml:space="preserve">     </w:t>
              <w:br w:type="textWrapping"/>
            </w:r>
          </w:p>
          <w:p w:rsidR="00000000" w:rsidDel="00000000" w:rsidP="00000000" w:rsidRDefault="00000000" w:rsidRPr="00000000" w14:paraId="00000016">
            <w:pPr>
              <w:rPr>
                <w:sz w:val="22"/>
                <w:szCs w:val="22"/>
                <w:vertAlign w:val="baseline"/>
              </w:rPr>
            </w:pPr>
            <w:r w:rsidDel="00000000" w:rsidR="00000000" w:rsidRPr="00000000">
              <w:rPr>
                <w:sz w:val="22"/>
                <w:szCs w:val="22"/>
                <w:vertAlign w:val="baseline"/>
                <w:rtl w:val="0"/>
              </w:rPr>
              <w:t xml:space="preserve">     </w:t>
            </w:r>
          </w:p>
        </w:tc>
        <w:tc>
          <w:tcPr>
            <w:vMerge w:val="restart"/>
            <w:tcBorders>
              <w:top w:color="000000" w:space="0" w:sz="4" w:val="single"/>
              <w:left w:color="000000" w:space="0" w:sz="4" w:val="single"/>
            </w:tcBorders>
            <w:vAlign w:val="top"/>
          </w:tcPr>
          <w:p w:rsidR="00000000" w:rsidDel="00000000" w:rsidP="00000000" w:rsidRDefault="00000000" w:rsidRPr="00000000" w14:paraId="00000017">
            <w:pPr>
              <w:rPr>
                <w:b w:val="0"/>
                <w:sz w:val="22"/>
                <w:szCs w:val="22"/>
                <w:vertAlign w:val="baseline"/>
              </w:rPr>
            </w:pPr>
            <w:r w:rsidDel="00000000" w:rsidR="00000000" w:rsidRPr="00000000">
              <w:rPr>
                <w:b w:val="1"/>
                <w:sz w:val="22"/>
                <w:szCs w:val="22"/>
                <w:vertAlign w:val="baseline"/>
                <w:rtl w:val="0"/>
              </w:rPr>
              <w:t xml:space="preserve">     </w:t>
              <w:br w:type="textWrapping"/>
            </w:r>
            <w:r w:rsidDel="00000000" w:rsidR="00000000" w:rsidRPr="00000000">
              <w:rPr>
                <w:rtl w:val="0"/>
              </w:rPr>
            </w:r>
          </w:p>
          <w:p w:rsidR="00000000" w:rsidDel="00000000" w:rsidP="00000000" w:rsidRDefault="00000000" w:rsidRPr="00000000" w14:paraId="00000018">
            <w:pPr>
              <w:rPr>
                <w:b w:val="0"/>
                <w:sz w:val="22"/>
                <w:szCs w:val="22"/>
                <w:vertAlign w:val="baseline"/>
              </w:rPr>
            </w:pPr>
            <w:r w:rsidDel="00000000" w:rsidR="00000000" w:rsidRPr="00000000">
              <w:rPr>
                <w:b w:val="1"/>
                <w:sz w:val="22"/>
                <w:szCs w:val="22"/>
                <w:vertAlign w:val="baseline"/>
                <w:rtl w:val="0"/>
              </w:rPr>
              <w:t xml:space="preserve">     </w:t>
              <w:br w:type="textWrapping"/>
            </w:r>
            <w:r w:rsidDel="00000000" w:rsidR="00000000" w:rsidRPr="00000000">
              <w:rPr>
                <w:rtl w:val="0"/>
              </w:rPr>
            </w:r>
          </w:p>
          <w:p w:rsidR="00000000" w:rsidDel="00000000" w:rsidP="00000000" w:rsidRDefault="00000000" w:rsidRPr="00000000" w14:paraId="00000019">
            <w:pPr>
              <w:rPr>
                <w:b w:val="0"/>
                <w:sz w:val="22"/>
                <w:szCs w:val="22"/>
                <w:vertAlign w:val="baseline"/>
              </w:rPr>
            </w:pPr>
            <w:r w:rsidDel="00000000" w:rsidR="00000000" w:rsidRPr="00000000">
              <w:rPr>
                <w:b w:val="1"/>
                <w:sz w:val="22"/>
                <w:szCs w:val="22"/>
                <w:vertAlign w:val="baseline"/>
                <w:rtl w:val="0"/>
              </w:rPr>
              <w:t xml:space="preserve">     </w:t>
              <w:br w:type="textWrapping"/>
            </w:r>
            <w:r w:rsidDel="00000000" w:rsidR="00000000" w:rsidRPr="00000000">
              <w:rPr>
                <w:rtl w:val="0"/>
              </w:rPr>
            </w:r>
          </w:p>
          <w:p w:rsidR="00000000" w:rsidDel="00000000" w:rsidP="00000000" w:rsidRDefault="00000000" w:rsidRPr="00000000" w14:paraId="0000001A">
            <w:pPr>
              <w:rPr>
                <w:b w:val="0"/>
                <w:sz w:val="22"/>
                <w:szCs w:val="22"/>
                <w:vertAlign w:val="baseline"/>
              </w:rPr>
            </w:pPr>
            <w:r w:rsidDel="00000000" w:rsidR="00000000" w:rsidRPr="00000000">
              <w:rPr>
                <w:b w:val="1"/>
                <w:sz w:val="22"/>
                <w:szCs w:val="22"/>
                <w:vertAlign w:val="baseline"/>
                <w:rtl w:val="0"/>
              </w:rPr>
              <w:t xml:space="preserve">     </w:t>
              <w:br w:type="textWrapping"/>
            </w:r>
            <w:r w:rsidDel="00000000" w:rsidR="00000000" w:rsidRPr="00000000">
              <w:rPr>
                <w:rtl w:val="0"/>
              </w:rPr>
            </w:r>
          </w:p>
          <w:p w:rsidR="00000000" w:rsidDel="00000000" w:rsidP="00000000" w:rsidRDefault="00000000" w:rsidRPr="00000000" w14:paraId="0000001B">
            <w:pPr>
              <w:rPr>
                <w:b w:val="0"/>
                <w:sz w:val="22"/>
                <w:szCs w:val="22"/>
                <w:vertAlign w:val="baseline"/>
              </w:rPr>
            </w:pPr>
            <w:r w:rsidDel="00000000" w:rsidR="00000000" w:rsidRPr="00000000">
              <w:rPr>
                <w:b w:val="1"/>
                <w:sz w:val="22"/>
                <w:szCs w:val="22"/>
                <w:vertAlign w:val="baseline"/>
                <w:rtl w:val="0"/>
              </w:rPr>
              <w:t xml:space="preserve">     </w:t>
            </w:r>
            <w:r w:rsidDel="00000000" w:rsidR="00000000" w:rsidRPr="00000000">
              <w:rPr>
                <w:rtl w:val="0"/>
              </w:rPr>
            </w:r>
          </w:p>
        </w:tc>
      </w:tr>
      <w:tr>
        <w:trPr>
          <w:cantSplit w:val="1"/>
          <w:trHeight w:val="843" w:hRule="atLeast"/>
          <w:tblHeader w:val="0"/>
        </w:trPr>
        <w:tc>
          <w:tcPr>
            <w:tcBorders>
              <w:top w:color="000000" w:space="0" w:sz="4" w:val="single"/>
              <w:bottom w:color="000000" w:space="0" w:sz="4" w:val="single"/>
              <w:right w:color="000000" w:space="0" w:sz="4" w:val="single"/>
            </w:tcBorders>
            <w:vAlign w:val="top"/>
          </w:tcPr>
          <w:p w:rsidR="00000000" w:rsidDel="00000000" w:rsidP="00000000" w:rsidRDefault="00000000" w:rsidRPr="00000000" w14:paraId="0000001C">
            <w:pPr>
              <w:ind w:left="450" w:right="-60" w:hanging="450"/>
              <w:rPr>
                <w:vertAlign w:val="baseline"/>
              </w:rPr>
            </w:pPr>
            <w:r w:rsidDel="00000000" w:rsidR="00000000" w:rsidRPr="00000000">
              <w:rPr>
                <w:rtl w:val="0"/>
              </w:rPr>
              <w:t xml:space="preserve">5B: Teachers apply varied data sources to access meaningful information for planning and differentiating student learning experiences, determining developmentally appropriate instructional practices, and improving processes that equitably guide the growth of each student’s academic and social–emotional learning.</w:t>
            </w: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18"/>
                <w:szCs w:val="18"/>
                <w:vertAlign w:val="baseline"/>
              </w:rPr>
            </w:pPr>
            <w:r w:rsidDel="00000000" w:rsidR="00000000" w:rsidRPr="00000000">
              <w:rPr>
                <w:rtl w:val="0"/>
              </w:rPr>
            </w:r>
          </w:p>
        </w:tc>
        <w:tc>
          <w:tcPr>
            <w:vMerge w:val="continue"/>
            <w:tcBorders>
              <w:top w:color="000000" w:space="0" w:sz="4" w:val="single"/>
              <w:left w:color="000000" w:space="0" w:sz="4" w:val="single"/>
            </w:tcBorders>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18"/>
                <w:szCs w:val="18"/>
                <w:vertAlign w:val="baseline"/>
              </w:rPr>
            </w:pPr>
            <w:r w:rsidDel="00000000" w:rsidR="00000000" w:rsidRPr="00000000">
              <w:rPr>
                <w:rtl w:val="0"/>
              </w:rPr>
            </w:r>
          </w:p>
        </w:tc>
      </w:tr>
      <w:tr>
        <w:trPr>
          <w:cantSplit w:val="1"/>
          <w:trHeight w:val="843" w:hRule="atLeast"/>
          <w:tblHeader w:val="0"/>
        </w:trPr>
        <w:tc>
          <w:tcPr>
            <w:tcBorders>
              <w:top w:color="000000" w:space="0" w:sz="4" w:val="single"/>
              <w:bottom w:color="000000" w:space="0" w:sz="4" w:val="single"/>
              <w:right w:color="000000" w:space="0" w:sz="4" w:val="single"/>
            </w:tcBorders>
            <w:vAlign w:val="top"/>
          </w:tcPr>
          <w:p w:rsidR="00000000" w:rsidDel="00000000" w:rsidP="00000000" w:rsidRDefault="00000000" w:rsidRPr="00000000" w14:paraId="0000001F">
            <w:pPr>
              <w:ind w:left="450" w:right="-60" w:hanging="450"/>
              <w:rPr>
                <w:vertAlign w:val="baseline"/>
              </w:rPr>
            </w:pPr>
            <w:r w:rsidDel="00000000" w:rsidR="00000000" w:rsidRPr="00000000">
              <w:rPr>
                <w:rtl w:val="0"/>
              </w:rPr>
              <w:t xml:space="preserve">5C: Teachers engage with students, families, and guardians, along with other teachers and specialists, to share student strengths and areas of improvement gathered from assessments and reach common understanding about how to apply the information to support improvement goals and student progress.</w:t>
            </w: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18"/>
                <w:szCs w:val="18"/>
                <w:vertAlign w:val="baseline"/>
              </w:rPr>
            </w:pPr>
            <w:r w:rsidDel="00000000" w:rsidR="00000000" w:rsidRPr="00000000">
              <w:rPr>
                <w:rtl w:val="0"/>
              </w:rPr>
            </w:r>
          </w:p>
        </w:tc>
        <w:tc>
          <w:tcPr>
            <w:vMerge w:val="continue"/>
            <w:tcBorders>
              <w:top w:color="000000" w:space="0" w:sz="4" w:val="single"/>
              <w:left w:color="000000" w:space="0" w:sz="4" w:val="single"/>
            </w:tcBorders>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18"/>
                <w:szCs w:val="18"/>
                <w:vertAlign w:val="baseline"/>
              </w:rPr>
            </w:pPr>
            <w:r w:rsidDel="00000000" w:rsidR="00000000" w:rsidRPr="00000000">
              <w:rPr>
                <w:rtl w:val="0"/>
              </w:rPr>
            </w:r>
          </w:p>
        </w:tc>
      </w:tr>
      <w:tr>
        <w:trPr>
          <w:cantSplit w:val="1"/>
          <w:trHeight w:val="854" w:hRule="atLeast"/>
          <w:tblHeader w:val="0"/>
        </w:trPr>
        <w:tc>
          <w:tcPr>
            <w:tcBorders>
              <w:top w:color="000000" w:space="0" w:sz="4" w:val="single"/>
              <w:bottom w:color="000000" w:space="0" w:sz="4" w:val="single"/>
              <w:right w:color="000000" w:space="0" w:sz="4" w:val="single"/>
            </w:tcBorders>
            <w:vAlign w:val="top"/>
          </w:tcPr>
          <w:p w:rsidR="00000000" w:rsidDel="00000000" w:rsidP="00000000" w:rsidRDefault="00000000" w:rsidRPr="00000000" w14:paraId="00000022">
            <w:pPr>
              <w:ind w:left="450" w:right="-60" w:hanging="450"/>
              <w:rPr>
                <w:vertAlign w:val="baseline"/>
              </w:rPr>
            </w:pPr>
            <w:r w:rsidDel="00000000" w:rsidR="00000000" w:rsidRPr="00000000">
              <w:rPr>
                <w:rtl w:val="0"/>
              </w:rPr>
              <w:t xml:space="preserve">5D: Teachers, individually and collaboratively, evaluate and improve assessment methods to ensure equitable access, opportunities, resources, and outcomes for student learning and growth.</w:t>
            </w: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18"/>
                <w:szCs w:val="18"/>
                <w:vertAlign w:val="baseline"/>
              </w:rPr>
            </w:pPr>
            <w:r w:rsidDel="00000000" w:rsidR="00000000" w:rsidRPr="00000000">
              <w:rPr>
                <w:rtl w:val="0"/>
              </w:rPr>
            </w:r>
          </w:p>
        </w:tc>
        <w:tc>
          <w:tcPr>
            <w:vMerge w:val="continue"/>
            <w:tcBorders>
              <w:top w:color="000000" w:space="0" w:sz="4" w:val="single"/>
              <w:left w:color="000000" w:space="0" w:sz="4" w:val="single"/>
            </w:tcBorders>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18"/>
                <w:szCs w:val="18"/>
                <w:vertAlign w:val="baseline"/>
              </w:rPr>
            </w:pPr>
            <w:r w:rsidDel="00000000" w:rsidR="00000000" w:rsidRPr="00000000">
              <w:rPr>
                <w:rtl w:val="0"/>
              </w:rPr>
            </w:r>
          </w:p>
        </w:tc>
      </w:tr>
    </w:tb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Signatures: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tab/>
        <w:tab/>
        <w:tab/>
        <w:tab/>
        <w:tab/>
        <w:tab/>
        <w:tab/>
      </w:r>
      <w:r w:rsidDel="00000000" w:rsidR="00000000" w:rsidRPr="00000000">
        <w:rPr>
          <w:b w:val="1"/>
          <w:rtl w:val="0"/>
        </w:rPr>
        <w:t xml:space="preserve">_____________</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18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w:t>
        <w:tab/>
        <w:tab/>
        <w:t xml:space="preserve"> Administrator</w:t>
        <w:tab/>
        <w:tab/>
        <w:tab/>
        <w:tab/>
        <w:tab/>
        <w:t xml:space="preserve">  Date</w:t>
      </w:r>
      <w:r w:rsidDel="00000000" w:rsidR="00000000" w:rsidRPr="00000000">
        <w:rPr>
          <w:rtl w:val="0"/>
        </w:rPr>
      </w:r>
    </w:p>
    <w:sectPr>
      <w:footerReference r:id="rId6" w:type="default"/>
      <w:pgSz w:h="12240" w:w="15840" w:orient="landscape"/>
      <w:pgMar w:bottom="288" w:top="245" w:left="288" w:right="288" w:header="720" w:footer="1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Cotati-Rohnert Park Unified School District</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b w:val="1"/>
        <w:sz w:val="18"/>
        <w:szCs w:val="18"/>
      </w:rPr>
    </w:pPr>
    <w:r w:rsidDel="00000000" w:rsidR="00000000" w:rsidRPr="00000000">
      <w:rPr>
        <w:b w:val="1"/>
        <w:sz w:val="18"/>
        <w:szCs w:val="18"/>
        <w:rtl w:val="0"/>
      </w:rPr>
      <w:t xml:space="preserve">Revised 9/16/2025</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b w:val="1"/>
      <w:sz w:val="24"/>
      <w:szCs w:val="24"/>
      <w:vertAlign w:val="baseline"/>
    </w:rPr>
  </w:style>
  <w:style w:type="paragraph" w:styleId="Heading2">
    <w:name w:val="heading 2"/>
    <w:basedOn w:val="Normal"/>
    <w:next w:val="Normal"/>
    <w:pPr>
      <w:keepNext w:val="1"/>
      <w:jc w:val="center"/>
    </w:pPr>
    <w:rPr>
      <w:b w:val="1"/>
      <w:sz w:val="20"/>
      <w:szCs w:val="20"/>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24"/>
      <w:szCs w:val="24"/>
      <w:vertAlign w:val="baseline"/>
    </w:rPr>
  </w:style>
  <w:style w:type="paragraph" w:styleId="Subtitle">
    <w:name w:val="Subtitle"/>
    <w:basedOn w:val="Normal"/>
    <w:next w:val="Normal"/>
    <w:pPr>
      <w:jc w:val="center"/>
    </w:pPr>
    <w:rPr>
      <w:b w:val="1"/>
      <w:smallCaps w:val="1"/>
      <w:sz w:val="24"/>
      <w:szCs w:val="24"/>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